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DB" w:rsidRPr="004A069F" w:rsidRDefault="00861A03">
      <w:bookmarkStart w:id="0" w:name="_GoBack"/>
      <w:bookmarkEnd w:id="0"/>
      <w:r w:rsidRPr="004A069F">
        <w:t>The National Academy of Sciences, Engineering, and Medicine recently published a large research review on the use of medicinal cannabis entitled “The Health Effects of Cannabis and Cannabinoids: The Current State of Evidence and Recommendations for Research”.</w:t>
      </w:r>
      <w:r w:rsidR="004301F6" w:rsidRPr="004A069F">
        <w:t xml:space="preserve">  </w:t>
      </w:r>
      <w:r w:rsidR="004C580E" w:rsidRPr="004A069F">
        <w:t>Senator Kimpson distributed this to the Subcommittee</w:t>
      </w:r>
      <w:r w:rsidR="004301F6" w:rsidRPr="004A069F">
        <w:t xml:space="preserve"> on March 13, 2019.</w:t>
      </w:r>
      <w:r w:rsidRPr="004A069F">
        <w:t xml:space="preserve">  Below the major points and conclusions of this 2017 study are summarized.</w:t>
      </w:r>
      <w:r w:rsidR="004C580E" w:rsidRPr="004A069F">
        <w:t xml:space="preserve">  Parenthesis cite specific chapters and studies within the large review paper.</w:t>
      </w:r>
      <w:r w:rsidRPr="004A069F">
        <w:t xml:space="preserve">  </w:t>
      </w:r>
    </w:p>
    <w:p w:rsidR="004301F6" w:rsidRPr="004A069F" w:rsidRDefault="004301F6">
      <w:pPr>
        <w:rPr>
          <w:sz w:val="20"/>
        </w:rPr>
      </w:pPr>
    </w:p>
    <w:p w:rsidR="00677847" w:rsidRPr="004A069F" w:rsidRDefault="00677847" w:rsidP="00677847">
      <w:pPr>
        <w:jc w:val="center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b/>
          <w:bCs/>
          <w:color w:val="000000"/>
          <w:szCs w:val="26"/>
        </w:rPr>
        <w:t>There is conclusive or substantial evidence that cannabis or cannabinoids are effective:</w:t>
      </w:r>
    </w:p>
    <w:p w:rsidR="00677847" w:rsidRPr="004A069F" w:rsidRDefault="00677847" w:rsidP="00677847">
      <w:pPr>
        <w:numPr>
          <w:ilvl w:val="0"/>
          <w:numId w:val="2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For the treatment of chronic pain in adults (cannabis) (4-1)</w:t>
      </w:r>
    </w:p>
    <w:p w:rsidR="00677847" w:rsidRPr="004A069F" w:rsidRDefault="00677847" w:rsidP="00677847">
      <w:pPr>
        <w:numPr>
          <w:ilvl w:val="0"/>
          <w:numId w:val="2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As antiemetics in the treatment of chemotherapy-induced nausea and vomiting (oral cannabinoids) (4-3)</w:t>
      </w:r>
    </w:p>
    <w:p w:rsidR="00677847" w:rsidRPr="004A069F" w:rsidRDefault="00677847" w:rsidP="00677847">
      <w:pPr>
        <w:numPr>
          <w:ilvl w:val="0"/>
          <w:numId w:val="2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For improving patient-reported multiple sclerosis spasticity symptoms (oral cannabinoids) (4-7a)</w:t>
      </w:r>
    </w:p>
    <w:p w:rsidR="00677847" w:rsidRPr="004A069F" w:rsidRDefault="00677847" w:rsidP="00677847">
      <w:pPr>
        <w:spacing w:before="240"/>
        <w:jc w:val="center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b/>
          <w:bCs/>
          <w:color w:val="000000"/>
          <w:szCs w:val="26"/>
        </w:rPr>
        <w:t>There is moderate evidence that cannabis or cannabinoids are effective for:</w:t>
      </w:r>
    </w:p>
    <w:p w:rsidR="00677847" w:rsidRPr="004A069F" w:rsidRDefault="00677847" w:rsidP="00677847">
      <w:pPr>
        <w:numPr>
          <w:ilvl w:val="0"/>
          <w:numId w:val="3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Improving short-term sleep outcomes in individuals with sleep disturbance associated with obstructive sleep apnea syndrome, fibromyalgia, chronic pain, and multiple sclerosis (cannabinoids, primarily nabiximols) (4-19)</w:t>
      </w:r>
    </w:p>
    <w:p w:rsidR="00677847" w:rsidRPr="004A069F" w:rsidRDefault="00677847" w:rsidP="00677847">
      <w:pPr>
        <w:spacing w:before="240"/>
        <w:jc w:val="center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b/>
          <w:bCs/>
          <w:color w:val="000000"/>
          <w:szCs w:val="26"/>
        </w:rPr>
        <w:t>There is limited evidence that cannabis or cannabinoids are effective for:</w:t>
      </w:r>
    </w:p>
    <w:p w:rsidR="00677847" w:rsidRPr="004A069F" w:rsidRDefault="00677847" w:rsidP="00677847">
      <w:pPr>
        <w:numPr>
          <w:ilvl w:val="0"/>
          <w:numId w:val="4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Increasing appetite and decreasing weight loss associated with HIV/AIDS (cannabis and oral cannabinoids) (4-4a)</w:t>
      </w:r>
    </w:p>
    <w:p w:rsidR="00677847" w:rsidRPr="004A069F" w:rsidRDefault="00677847" w:rsidP="00677847">
      <w:pPr>
        <w:numPr>
          <w:ilvl w:val="0"/>
          <w:numId w:val="4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Improving clinician-measured multiple sclerosis spasticity symptoms (oral cannabinoids) (4-7a)</w:t>
      </w:r>
    </w:p>
    <w:p w:rsidR="00677847" w:rsidRPr="004A069F" w:rsidRDefault="00677847" w:rsidP="00677847">
      <w:pPr>
        <w:numPr>
          <w:ilvl w:val="0"/>
          <w:numId w:val="4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Improving symptoms of Tourette syndrome (THC capsules) (4-8)</w:t>
      </w:r>
    </w:p>
    <w:p w:rsidR="00677847" w:rsidRPr="004A069F" w:rsidRDefault="00677847" w:rsidP="00677847">
      <w:pPr>
        <w:numPr>
          <w:ilvl w:val="0"/>
          <w:numId w:val="4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Improving anxiety symptoms, as assessed by a public speaking test, in individuals with social anxiety disorders (cannabidiol) (4-17)</w:t>
      </w:r>
    </w:p>
    <w:p w:rsidR="00677847" w:rsidRPr="004A069F" w:rsidRDefault="00677847" w:rsidP="00677847">
      <w:pPr>
        <w:numPr>
          <w:ilvl w:val="0"/>
          <w:numId w:val="4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Improving symptoms of posttraumatic stress disorder (nabilone; a single, small fair-quality trial) (4-20)</w:t>
      </w:r>
    </w:p>
    <w:p w:rsidR="004A069F" w:rsidRPr="004A069F" w:rsidRDefault="004A069F" w:rsidP="004A069F">
      <w:pPr>
        <w:spacing w:before="240"/>
        <w:jc w:val="center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b/>
          <w:bCs/>
          <w:color w:val="000000"/>
          <w:szCs w:val="26"/>
        </w:rPr>
        <w:t>There is limited evidence of a statistical association between cannabinoids and:</w:t>
      </w:r>
    </w:p>
    <w:p w:rsidR="004A069F" w:rsidRPr="004A069F" w:rsidRDefault="004A069F" w:rsidP="004A069F">
      <w:pPr>
        <w:numPr>
          <w:ilvl w:val="0"/>
          <w:numId w:val="5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Better outcomes (i.e., mortality, disability) after a traumatic brain injury or intracranial hemorrhage (4-15)</w:t>
      </w:r>
    </w:p>
    <w:p w:rsidR="004A069F" w:rsidRPr="004A069F" w:rsidRDefault="004A069F" w:rsidP="004A069F">
      <w:pPr>
        <w:spacing w:before="240"/>
        <w:jc w:val="center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b/>
          <w:bCs/>
          <w:color w:val="000000"/>
          <w:szCs w:val="26"/>
        </w:rPr>
        <w:t>There is limited evidence that cannabis or cannabinoids are </w:t>
      </w:r>
      <w:r w:rsidRPr="004A069F">
        <w:rPr>
          <w:rFonts w:eastAsia="Times New Roman" w:cs="Times New Roman"/>
          <w:b/>
          <w:bCs/>
          <w:i/>
          <w:iCs/>
          <w:color w:val="000000"/>
          <w:szCs w:val="26"/>
        </w:rPr>
        <w:t>ineffective</w:t>
      </w:r>
      <w:r w:rsidRPr="004A069F">
        <w:rPr>
          <w:rFonts w:eastAsia="Times New Roman" w:cs="Times New Roman"/>
          <w:b/>
          <w:bCs/>
          <w:color w:val="000000"/>
          <w:szCs w:val="26"/>
        </w:rPr>
        <w:t> for:</w:t>
      </w:r>
    </w:p>
    <w:p w:rsidR="004A069F" w:rsidRPr="004A069F" w:rsidRDefault="004A069F" w:rsidP="004A069F">
      <w:pPr>
        <w:numPr>
          <w:ilvl w:val="0"/>
          <w:numId w:val="6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Improving symptoms associated with dementia (cannabinoids) (4-13)</w:t>
      </w:r>
    </w:p>
    <w:p w:rsidR="004A069F" w:rsidRPr="004A069F" w:rsidRDefault="004A069F" w:rsidP="004A069F">
      <w:pPr>
        <w:numPr>
          <w:ilvl w:val="0"/>
          <w:numId w:val="6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Improving intraocular pressure associated with glaucoma (cannabinoids) (4-14)</w:t>
      </w:r>
    </w:p>
    <w:p w:rsidR="004A069F" w:rsidRPr="004A069F" w:rsidRDefault="004A069F" w:rsidP="004A069F">
      <w:pPr>
        <w:numPr>
          <w:ilvl w:val="0"/>
          <w:numId w:val="6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Reducing depressive symptoms in individuals with chronic pain or multiple sclerosis (nabiximols, dronabinol, and nabilone) (4-18)</w:t>
      </w:r>
    </w:p>
    <w:p w:rsidR="004A069F" w:rsidRPr="004A069F" w:rsidRDefault="004A069F" w:rsidP="004A069F">
      <w:pPr>
        <w:spacing w:before="240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4A069F">
        <w:rPr>
          <w:rFonts w:eastAsia="Times New Roman" w:cs="Times New Roman"/>
          <w:b/>
          <w:bCs/>
          <w:color w:val="000000"/>
          <w:szCs w:val="26"/>
        </w:rPr>
        <w:t>There is no or insufficient evidence to support or refute the conclusion that cannabis or cannabinoids are an effective treatment for: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Cancers, including glioma (cannabinoids) (4-2)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Cancer-associated anorexia cachexia syndrome and anorexia nervosa (cannabinoids) (4-4b)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Symptoms of irritable bowel syndrome (dronabinol) (4-5)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Epilepsy (cannabinoids) (4-6)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Spasticity in patients with paralysis due to spinal cord injury (cannabinoids) (4-7b)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Symptoms associated with amyotrophic lateral sclerosis (cannabinoids) (4-9)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Chorea and certain neuropsychiatric symptoms associated with Huntington’s disease (oral cannabinoids) (4-10)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Motor system symptoms associated with Parkinson’s disease or the levodopa-induced dyskinesia (cannabinoids) (4-11)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Dystonia (nabilone and dronabinol) (4-12)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Achieving abstinence in the use of addictive substances (cannabinoids) (4-16)</w:t>
      </w:r>
    </w:p>
    <w:p w:rsidR="004A069F" w:rsidRPr="004A069F" w:rsidRDefault="004A069F" w:rsidP="004A069F">
      <w:pPr>
        <w:numPr>
          <w:ilvl w:val="0"/>
          <w:numId w:val="7"/>
        </w:numPr>
        <w:ind w:left="0"/>
        <w:rPr>
          <w:rFonts w:eastAsia="Times New Roman" w:cs="Times New Roman"/>
          <w:color w:val="000000"/>
          <w:szCs w:val="26"/>
        </w:rPr>
      </w:pPr>
      <w:r w:rsidRPr="004A069F">
        <w:rPr>
          <w:rFonts w:eastAsia="Times New Roman" w:cs="Times New Roman"/>
          <w:color w:val="000000"/>
          <w:szCs w:val="26"/>
        </w:rPr>
        <w:t>Mental health outcomes in individuals with schizophrenia or schizophreniform psychosis (cannabidiol) (4-21)</w:t>
      </w:r>
    </w:p>
    <w:p w:rsidR="004301F6" w:rsidRPr="004A069F" w:rsidRDefault="004301F6">
      <w:pPr>
        <w:rPr>
          <w:rFonts w:cs="Times New Roman"/>
          <w:sz w:val="16"/>
        </w:rPr>
      </w:pPr>
    </w:p>
    <w:sectPr w:rsidR="004301F6" w:rsidRPr="004A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4269"/>
    <w:multiLevelType w:val="multilevel"/>
    <w:tmpl w:val="D82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C6E32"/>
    <w:multiLevelType w:val="multilevel"/>
    <w:tmpl w:val="60C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11333"/>
    <w:multiLevelType w:val="multilevel"/>
    <w:tmpl w:val="988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90B17"/>
    <w:multiLevelType w:val="hybridMultilevel"/>
    <w:tmpl w:val="2C24B56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5677D02"/>
    <w:multiLevelType w:val="multilevel"/>
    <w:tmpl w:val="02A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47E3C"/>
    <w:multiLevelType w:val="multilevel"/>
    <w:tmpl w:val="0C1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A4726"/>
    <w:multiLevelType w:val="multilevel"/>
    <w:tmpl w:val="5E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03"/>
    <w:rsid w:val="001849AB"/>
    <w:rsid w:val="00337472"/>
    <w:rsid w:val="00381DF2"/>
    <w:rsid w:val="003A4310"/>
    <w:rsid w:val="003E4FB5"/>
    <w:rsid w:val="00402788"/>
    <w:rsid w:val="004301F6"/>
    <w:rsid w:val="004A069F"/>
    <w:rsid w:val="004C580E"/>
    <w:rsid w:val="005A3311"/>
    <w:rsid w:val="0060475B"/>
    <w:rsid w:val="00677847"/>
    <w:rsid w:val="0068175D"/>
    <w:rsid w:val="006A296F"/>
    <w:rsid w:val="00861A03"/>
    <w:rsid w:val="00A220E4"/>
    <w:rsid w:val="00A52663"/>
    <w:rsid w:val="00A8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653DF-52E6-4F98-8F58-8C0BF714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4301F6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301F6"/>
    <w:rPr>
      <w:rFonts w:eastAsia="Times New Roman" w:cs="Times New Roman"/>
      <w:b/>
      <w:bCs/>
      <w:sz w:val="15"/>
      <w:szCs w:val="15"/>
    </w:rPr>
  </w:style>
  <w:style w:type="paragraph" w:customStyle="1" w:styleId="tx">
    <w:name w:val="tx"/>
    <w:basedOn w:val="Normal"/>
    <w:rsid w:val="004301F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1F6"/>
    <w:pPr>
      <w:ind w:left="720"/>
      <w:contextualSpacing/>
    </w:pPr>
  </w:style>
  <w:style w:type="paragraph" w:customStyle="1" w:styleId="tx1">
    <w:name w:val="tx1"/>
    <w:basedOn w:val="Normal"/>
    <w:rsid w:val="0067784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x1-1">
    <w:name w:val="tx1-1"/>
    <w:basedOn w:val="Normal"/>
    <w:rsid w:val="0067784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9AAA67F4</Template>
  <TotalTime>1</TotalTime>
  <Pages>4</Pages>
  <Words>482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Senate Medical Page</dc:creator>
  <cp:keywords/>
  <dc:description/>
  <cp:lastModifiedBy>Gene Hogan</cp:lastModifiedBy>
  <cp:revision>2</cp:revision>
  <dcterms:created xsi:type="dcterms:W3CDTF">2019-03-15T14:45:00Z</dcterms:created>
  <dcterms:modified xsi:type="dcterms:W3CDTF">2019-03-15T14:45:00Z</dcterms:modified>
</cp:coreProperties>
</file>